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659B3" w14:textId="77777777" w:rsidR="00AE2F8A" w:rsidRDefault="00AE2F8A">
      <w:pPr>
        <w:widowControl w:val="0"/>
        <w:pBdr>
          <w:top w:val="nil"/>
          <w:left w:val="nil"/>
          <w:bottom w:val="nil"/>
          <w:right w:val="nil"/>
          <w:between w:val="nil"/>
        </w:pBdr>
        <w:spacing w:after="0"/>
      </w:pPr>
    </w:p>
    <w:p w14:paraId="0E3C119B" w14:textId="77777777" w:rsidR="00AE2F8A" w:rsidRDefault="00AE2F8A">
      <w:pPr>
        <w:widowControl w:val="0"/>
        <w:pBdr>
          <w:top w:val="nil"/>
          <w:left w:val="nil"/>
          <w:bottom w:val="nil"/>
          <w:right w:val="nil"/>
          <w:between w:val="nil"/>
        </w:pBdr>
        <w:spacing w:after="0"/>
        <w:rPr>
          <w:smallCaps/>
        </w:rPr>
      </w:pPr>
    </w:p>
    <w:p w14:paraId="317C182A" w14:textId="77777777" w:rsidR="00AE2F8A" w:rsidRDefault="00AE2F8A">
      <w:pPr>
        <w:widowControl w:val="0"/>
        <w:pBdr>
          <w:top w:val="nil"/>
          <w:left w:val="nil"/>
          <w:bottom w:val="nil"/>
          <w:right w:val="nil"/>
          <w:between w:val="nil"/>
        </w:pBdr>
        <w:spacing w:after="0"/>
      </w:pPr>
      <w:bookmarkStart w:id="0" w:name="_heading=h.2s8eyo1" w:colFirst="0" w:colLast="0"/>
      <w:bookmarkEnd w:id="0"/>
    </w:p>
    <w:p w14:paraId="00B7C739" w14:textId="77777777" w:rsidR="00AE2F8A" w:rsidRDefault="00713AD8">
      <w:pPr>
        <w:keepNext/>
        <w:pBdr>
          <w:top w:val="nil"/>
          <w:left w:val="nil"/>
          <w:bottom w:val="nil"/>
          <w:right w:val="nil"/>
          <w:between w:val="nil"/>
        </w:pBdr>
        <w:spacing w:after="240" w:line="240" w:lineRule="auto"/>
        <w:rPr>
          <w:rFonts w:ascii="Arial" w:eastAsia="Arial" w:hAnsi="Arial" w:cs="Arial"/>
          <w:smallCaps/>
          <w:color w:val="000000"/>
          <w:sz w:val="36"/>
          <w:szCs w:val="36"/>
        </w:rPr>
      </w:pPr>
      <w:r>
        <w:rPr>
          <w:rFonts w:ascii="Arial" w:eastAsia="Arial" w:hAnsi="Arial" w:cs="Arial"/>
          <w:b/>
          <w:color w:val="000000"/>
          <w:sz w:val="36"/>
          <w:szCs w:val="36"/>
        </w:rPr>
        <w:t>Call-Off Schedule 14 (Key Performance Indicators)</w:t>
      </w:r>
    </w:p>
    <w:p w14:paraId="25627F85" w14:textId="77777777" w:rsidR="00AE2F8A" w:rsidRDefault="00713AD8">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smallCaps/>
          <w:color w:val="000000"/>
          <w:sz w:val="24"/>
          <w:szCs w:val="24"/>
        </w:rPr>
      </w:pPr>
      <w:r>
        <w:rPr>
          <w:rFonts w:ascii="Arial" w:eastAsia="Arial" w:hAnsi="Arial" w:cs="Arial"/>
          <w:b/>
          <w:color w:val="000000"/>
          <w:sz w:val="24"/>
          <w:szCs w:val="24"/>
        </w:rPr>
        <w:t>Definitions</w:t>
      </w:r>
    </w:p>
    <w:p w14:paraId="4EC2D26E"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e"/>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AE2F8A" w14:paraId="3882BEC0" w14:textId="77777777">
        <w:tc>
          <w:tcPr>
            <w:tcW w:w="2410" w:type="dxa"/>
          </w:tcPr>
          <w:p w14:paraId="230FA562" w14:textId="77777777" w:rsidR="00AE2F8A" w:rsidRDefault="00713AD8">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w:t>
            </w:r>
          </w:p>
        </w:tc>
        <w:tc>
          <w:tcPr>
            <w:tcW w:w="5953" w:type="dxa"/>
          </w:tcPr>
          <w:p w14:paraId="2A487379" w14:textId="77777777" w:rsidR="00AE2F8A" w:rsidRDefault="00713AD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AE2F8A" w14:paraId="04F57EA4" w14:textId="77777777">
        <w:tc>
          <w:tcPr>
            <w:tcW w:w="2410" w:type="dxa"/>
          </w:tcPr>
          <w:p w14:paraId="0ADCA4C5" w14:textId="77777777" w:rsidR="00AE2F8A" w:rsidRDefault="00713AD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tcPr>
          <w:p w14:paraId="4DA9C4F3" w14:textId="77777777" w:rsidR="00AE2F8A" w:rsidRDefault="00713AD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AE2F8A" w14:paraId="3C7945D4" w14:textId="77777777">
        <w:tc>
          <w:tcPr>
            <w:tcW w:w="2410" w:type="dxa"/>
          </w:tcPr>
          <w:p w14:paraId="5907FD51" w14:textId="77777777" w:rsidR="00AE2F8A" w:rsidRDefault="00713AD8">
            <w:pPr>
              <w:pBdr>
                <w:top w:val="nil"/>
                <w:left w:val="nil"/>
                <w:bottom w:val="nil"/>
                <w:right w:val="nil"/>
                <w:between w:val="nil"/>
              </w:pBdr>
              <w:spacing w:after="120"/>
              <w:ind w:left="-108"/>
              <w:rPr>
                <w:color w:val="000000"/>
                <w:sz w:val="24"/>
                <w:szCs w:val="24"/>
              </w:rPr>
            </w:pPr>
            <w:r>
              <w:rPr>
                <w:rFonts w:ascii="Arial" w:eastAsia="Arial" w:hAnsi="Arial" w:cs="Arial"/>
                <w:b/>
                <w:sz w:val="24"/>
                <w:szCs w:val="24"/>
              </w:rPr>
              <w:t>"Earn Back %"</w:t>
            </w:r>
          </w:p>
        </w:tc>
        <w:tc>
          <w:tcPr>
            <w:tcW w:w="5953" w:type="dxa"/>
          </w:tcPr>
          <w:p w14:paraId="228DFEEB" w14:textId="77777777" w:rsidR="00AE2F8A" w:rsidRDefault="00713AD8">
            <w:pPr>
              <w:pBdr>
                <w:top w:val="nil"/>
                <w:left w:val="nil"/>
                <w:bottom w:val="nil"/>
                <w:right w:val="nil"/>
                <w:between w:val="nil"/>
              </w:pBdr>
              <w:tabs>
                <w:tab w:val="left" w:pos="-9"/>
                <w:tab w:val="left" w:pos="-179"/>
              </w:tabs>
              <w:spacing w:after="120"/>
              <w:ind w:left="170"/>
              <w:rPr>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AE2F8A" w14:paraId="61780E2D" w14:textId="77777777">
        <w:tc>
          <w:tcPr>
            <w:tcW w:w="2410" w:type="dxa"/>
          </w:tcPr>
          <w:p w14:paraId="1378A24C" w14:textId="77777777" w:rsidR="00AE2F8A" w:rsidRDefault="00713AD8">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14:paraId="15F6EDA4" w14:textId="77777777" w:rsidR="00AE2F8A" w:rsidRDefault="00AE2F8A">
            <w:pPr>
              <w:pBdr>
                <w:top w:val="nil"/>
                <w:left w:val="nil"/>
                <w:bottom w:val="nil"/>
                <w:right w:val="nil"/>
                <w:between w:val="nil"/>
              </w:pBdr>
              <w:spacing w:after="120"/>
              <w:ind w:left="-108"/>
              <w:rPr>
                <w:rFonts w:ascii="Arial" w:eastAsia="Arial" w:hAnsi="Arial" w:cs="Arial"/>
                <w:b/>
                <w:sz w:val="24"/>
                <w:szCs w:val="24"/>
              </w:rPr>
            </w:pPr>
          </w:p>
        </w:tc>
        <w:tc>
          <w:tcPr>
            <w:tcW w:w="5953" w:type="dxa"/>
          </w:tcPr>
          <w:p w14:paraId="3D07709D" w14:textId="77777777" w:rsidR="00AE2F8A" w:rsidRDefault="00713AD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means each of the categories in the columns headed "KPI Category" in the "KPI Measures" tab of the KPI PayMech Model</w:t>
            </w:r>
            <w:r>
              <w:rPr>
                <w:rFonts w:ascii="Arial" w:eastAsia="Arial" w:hAnsi="Arial" w:cs="Arial"/>
                <w:color w:val="000000"/>
                <w:sz w:val="24"/>
                <w:szCs w:val="24"/>
              </w:rPr>
              <w:t>;</w:t>
            </w:r>
          </w:p>
        </w:tc>
      </w:tr>
      <w:tr w:rsidR="00AE2F8A" w14:paraId="7C9948AC" w14:textId="77777777">
        <w:tc>
          <w:tcPr>
            <w:tcW w:w="2410" w:type="dxa"/>
          </w:tcPr>
          <w:p w14:paraId="55C4B7B4" w14:textId="77777777" w:rsidR="00AE2F8A" w:rsidRDefault="00713AD8">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“KPI Category At Risk Amount”</w:t>
            </w:r>
          </w:p>
        </w:tc>
        <w:tc>
          <w:tcPr>
            <w:tcW w:w="5953" w:type="dxa"/>
          </w:tcPr>
          <w:p w14:paraId="76C848AF" w14:textId="77777777" w:rsidR="00AE2F8A" w:rsidRDefault="00713AD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AE2F8A" w14:paraId="33BA886F" w14:textId="77777777">
        <w:tc>
          <w:tcPr>
            <w:tcW w:w="2410" w:type="dxa"/>
          </w:tcPr>
          <w:p w14:paraId="1F85EC4B" w14:textId="77777777" w:rsidR="00AE2F8A" w:rsidRDefault="00713AD8">
            <w:pPr>
              <w:pBdr>
                <w:top w:val="nil"/>
                <w:left w:val="nil"/>
                <w:bottom w:val="nil"/>
                <w:right w:val="nil"/>
                <w:between w:val="nil"/>
              </w:pBdr>
              <w:spacing w:after="120"/>
              <w:ind w:left="-108"/>
              <w:rPr>
                <w:color w:val="000000"/>
                <w:sz w:val="24"/>
                <w:szCs w:val="24"/>
              </w:rPr>
            </w:pPr>
            <w:r>
              <w:rPr>
                <w:rFonts w:ascii="Arial" w:eastAsia="Arial" w:hAnsi="Arial" w:cs="Arial"/>
                <w:b/>
                <w:color w:val="000000"/>
                <w:sz w:val="24"/>
                <w:szCs w:val="24"/>
              </w:rPr>
              <w:t>"KPI Paymech Model"</w:t>
            </w:r>
          </w:p>
        </w:tc>
        <w:tc>
          <w:tcPr>
            <w:tcW w:w="5953" w:type="dxa"/>
          </w:tcPr>
          <w:p w14:paraId="6FC6ABD2" w14:textId="77777777" w:rsidR="00AE2F8A" w:rsidRDefault="00713AD8">
            <w:pPr>
              <w:pBdr>
                <w:top w:val="nil"/>
                <w:left w:val="nil"/>
                <w:bottom w:val="nil"/>
                <w:right w:val="nil"/>
                <w:between w:val="nil"/>
              </w:pBdr>
              <w:tabs>
                <w:tab w:val="left" w:pos="-9"/>
                <w:tab w:val="left" w:pos="-179"/>
              </w:tabs>
              <w:spacing w:after="120"/>
              <w:ind w:left="170"/>
              <w:rPr>
                <w:color w:val="000000"/>
                <w:sz w:val="24"/>
                <w:szCs w:val="24"/>
              </w:rPr>
            </w:pPr>
            <w:r>
              <w:rPr>
                <w:rFonts w:ascii="Arial" w:eastAsia="Arial" w:hAnsi="Arial" w:cs="Arial"/>
                <w:sz w:val="24"/>
                <w:szCs w:val="24"/>
              </w:rPr>
              <w:t>means the model comprised in the Excel worksheet - KPI Paymech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tr w:rsidR="00AE2F8A" w14:paraId="29A87C17" w14:textId="77777777">
        <w:tc>
          <w:tcPr>
            <w:tcW w:w="2410" w:type="dxa"/>
          </w:tcPr>
          <w:p w14:paraId="1610C898" w14:textId="77777777" w:rsidR="00AE2F8A" w:rsidRDefault="00713AD8">
            <w:pPr>
              <w:pBdr>
                <w:top w:val="nil"/>
                <w:left w:val="nil"/>
                <w:bottom w:val="nil"/>
                <w:right w:val="nil"/>
                <w:between w:val="nil"/>
              </w:pBdr>
              <w:spacing w:after="120"/>
              <w:ind w:left="-108"/>
              <w:rPr>
                <w:color w:val="000000"/>
                <w:sz w:val="24"/>
                <w:szCs w:val="24"/>
              </w:rPr>
            </w:pPr>
            <w:r>
              <w:rPr>
                <w:rFonts w:ascii="Arial" w:eastAsia="Arial" w:hAnsi="Arial" w:cs="Arial"/>
                <w:b/>
                <w:sz w:val="24"/>
                <w:szCs w:val="24"/>
              </w:rPr>
              <w:t>"KPI At Risk Amount"</w:t>
            </w:r>
          </w:p>
        </w:tc>
        <w:tc>
          <w:tcPr>
            <w:tcW w:w="5953" w:type="dxa"/>
          </w:tcPr>
          <w:p w14:paraId="1CEC2086" w14:textId="77777777" w:rsidR="00AE2F8A" w:rsidRDefault="00713AD8">
            <w:pPr>
              <w:pBdr>
                <w:top w:val="nil"/>
                <w:left w:val="nil"/>
                <w:bottom w:val="nil"/>
                <w:right w:val="nil"/>
                <w:between w:val="nil"/>
              </w:pBdr>
              <w:tabs>
                <w:tab w:val="left" w:pos="-9"/>
                <w:tab w:val="left" w:pos="-179"/>
              </w:tabs>
              <w:spacing w:after="120"/>
              <w:ind w:left="170"/>
              <w:rPr>
                <w:color w:val="000000"/>
                <w:sz w:val="24"/>
                <w:szCs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 xml:space="preserve">Period, the amount calculated in accordance with Paragraph 3.3 of Part A of this Schedule; </w:t>
            </w:r>
          </w:p>
        </w:tc>
      </w:tr>
      <w:tr w:rsidR="00AE2F8A" w14:paraId="5E19DA51" w14:textId="77777777">
        <w:tc>
          <w:tcPr>
            <w:tcW w:w="2410" w:type="dxa"/>
          </w:tcPr>
          <w:p w14:paraId="3FAD35CE" w14:textId="77777777" w:rsidR="00AE2F8A" w:rsidRDefault="00713AD8">
            <w:pPr>
              <w:pBdr>
                <w:top w:val="nil"/>
                <w:left w:val="nil"/>
                <w:bottom w:val="nil"/>
                <w:right w:val="nil"/>
                <w:between w:val="nil"/>
              </w:pBdr>
              <w:spacing w:after="120"/>
              <w:ind w:left="-108"/>
              <w:rPr>
                <w:sz w:val="24"/>
                <w:szCs w:val="24"/>
              </w:rPr>
            </w:pPr>
            <w:r>
              <w:rPr>
                <w:rFonts w:ascii="Arial" w:eastAsia="Arial" w:hAnsi="Arial" w:cs="Arial"/>
                <w:b/>
                <w:color w:val="000000"/>
                <w:sz w:val="24"/>
                <w:szCs w:val="24"/>
              </w:rPr>
              <w:t>"KPI Failure"</w:t>
            </w:r>
          </w:p>
        </w:tc>
        <w:tc>
          <w:tcPr>
            <w:tcW w:w="5953" w:type="dxa"/>
          </w:tcPr>
          <w:p w14:paraId="72F5E332" w14:textId="77777777" w:rsidR="00AE2F8A" w:rsidRDefault="00713AD8">
            <w:pPr>
              <w:pBdr>
                <w:top w:val="nil"/>
                <w:left w:val="nil"/>
                <w:bottom w:val="nil"/>
                <w:right w:val="nil"/>
                <w:between w:val="nil"/>
              </w:pBdr>
              <w:tabs>
                <w:tab w:val="left" w:pos="-9"/>
                <w:tab w:val="left" w:pos="-179"/>
              </w:tabs>
              <w:spacing w:after="120"/>
              <w:ind w:left="170"/>
              <w:rPr>
                <w:color w:val="000000"/>
                <w:sz w:val="24"/>
                <w:szCs w:val="24"/>
              </w:rPr>
            </w:pPr>
            <w:r>
              <w:rPr>
                <w:rFonts w:ascii="Arial" w:eastAsia="Arial" w:hAnsi="Arial" w:cs="Arial"/>
                <w:color w:val="000000"/>
                <w:sz w:val="24"/>
                <w:szCs w:val="24"/>
              </w:rPr>
              <w:t>means a failure to meet the KPI Performance Measure in respect of a KPI;</w:t>
            </w:r>
          </w:p>
        </w:tc>
      </w:tr>
      <w:tr w:rsidR="00AE2F8A" w14:paraId="4ECA3105" w14:textId="77777777">
        <w:tc>
          <w:tcPr>
            <w:tcW w:w="2410" w:type="dxa"/>
          </w:tcPr>
          <w:p w14:paraId="20D937A9" w14:textId="77777777" w:rsidR="00AE2F8A" w:rsidRDefault="00713AD8">
            <w:pPr>
              <w:pBdr>
                <w:top w:val="nil"/>
                <w:left w:val="nil"/>
                <w:bottom w:val="nil"/>
                <w:right w:val="nil"/>
                <w:between w:val="nil"/>
              </w:pBdr>
              <w:spacing w:after="120"/>
              <w:ind w:left="-108"/>
              <w:rPr>
                <w:color w:val="000000"/>
                <w:sz w:val="24"/>
                <w:szCs w:val="24"/>
              </w:rPr>
            </w:pPr>
            <w:r>
              <w:rPr>
                <w:rFonts w:ascii="Arial" w:eastAsia="Arial" w:hAnsi="Arial" w:cs="Arial"/>
                <w:b/>
                <w:color w:val="000000"/>
                <w:sz w:val="24"/>
                <w:szCs w:val="24"/>
              </w:rPr>
              <w:t>"KPI Performance Measure"</w:t>
            </w:r>
          </w:p>
        </w:tc>
        <w:tc>
          <w:tcPr>
            <w:tcW w:w="5953" w:type="dxa"/>
          </w:tcPr>
          <w:p w14:paraId="483906E4" w14:textId="77777777" w:rsidR="00AE2F8A" w:rsidRDefault="00713AD8">
            <w:pPr>
              <w:pBdr>
                <w:top w:val="nil"/>
                <w:left w:val="nil"/>
                <w:bottom w:val="nil"/>
                <w:right w:val="nil"/>
                <w:between w:val="nil"/>
              </w:pBdr>
              <w:tabs>
                <w:tab w:val="left" w:pos="-9"/>
                <w:tab w:val="left" w:pos="-179"/>
              </w:tabs>
              <w:spacing w:after="120"/>
              <w:ind w:left="170"/>
              <w:rPr>
                <w:color w:val="000000"/>
                <w:sz w:val="24"/>
                <w:szCs w:val="24"/>
              </w:rPr>
            </w:pPr>
            <w:r>
              <w:rPr>
                <w:rFonts w:ascii="Arial" w:eastAsia="Arial" w:hAnsi="Arial" w:cs="Arial"/>
                <w:sz w:val="24"/>
                <w:szCs w:val="24"/>
              </w:rPr>
              <w:t xml:space="preserve">means each of the Performance Measures in the columns headed Measure Requirement and Measure Achievement Calculation in the KPI Measures tab of the KPI Paymech Model </w:t>
            </w:r>
          </w:p>
        </w:tc>
      </w:tr>
      <w:tr w:rsidR="00AE2F8A" w14:paraId="5617EC7A" w14:textId="77777777">
        <w:tc>
          <w:tcPr>
            <w:tcW w:w="2410" w:type="dxa"/>
          </w:tcPr>
          <w:p w14:paraId="3DC75EA3" w14:textId="77777777" w:rsidR="00AE2F8A" w:rsidRDefault="00713AD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Monitoring Reports"</w:t>
            </w:r>
          </w:p>
        </w:tc>
        <w:tc>
          <w:tcPr>
            <w:tcW w:w="5953" w:type="dxa"/>
          </w:tcPr>
          <w:p w14:paraId="24867A8B" w14:textId="77777777" w:rsidR="00AE2F8A" w:rsidRDefault="00713AD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AE2F8A" w14:paraId="29CB678C" w14:textId="77777777">
        <w:tc>
          <w:tcPr>
            <w:tcW w:w="2410" w:type="dxa"/>
          </w:tcPr>
          <w:p w14:paraId="6ED7F72F" w14:textId="77777777" w:rsidR="00AE2F8A" w:rsidRDefault="00713AD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Review Meetings"</w:t>
            </w:r>
          </w:p>
        </w:tc>
        <w:tc>
          <w:tcPr>
            <w:tcW w:w="5953" w:type="dxa"/>
          </w:tcPr>
          <w:p w14:paraId="6E32B15E" w14:textId="77777777" w:rsidR="00AE2F8A" w:rsidRDefault="00713AD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AE2F8A" w14:paraId="4EEA71C1" w14:textId="77777777">
        <w:tc>
          <w:tcPr>
            <w:tcW w:w="2410" w:type="dxa"/>
          </w:tcPr>
          <w:p w14:paraId="7B503E32" w14:textId="77777777" w:rsidR="00AE2F8A" w:rsidRDefault="00713AD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tcPr>
          <w:p w14:paraId="506F0A49" w14:textId="77777777" w:rsidR="00AE2F8A" w:rsidRDefault="00713AD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AE2F8A" w14:paraId="12B3C800" w14:textId="77777777">
        <w:tc>
          <w:tcPr>
            <w:tcW w:w="2410" w:type="dxa"/>
          </w:tcPr>
          <w:p w14:paraId="131ACDC9" w14:textId="77777777" w:rsidR="00AE2F8A" w:rsidRDefault="00713AD8">
            <w:pPr>
              <w:pBdr>
                <w:top w:val="nil"/>
                <w:left w:val="nil"/>
                <w:bottom w:val="nil"/>
                <w:right w:val="nil"/>
                <w:between w:val="nil"/>
              </w:pBdr>
              <w:spacing w:after="120"/>
              <w:ind w:left="-108"/>
              <w:rPr>
                <w:color w:val="000000"/>
                <w:sz w:val="24"/>
                <w:szCs w:val="24"/>
              </w:rPr>
            </w:pPr>
            <w:r>
              <w:rPr>
                <w:rFonts w:ascii="Arial" w:eastAsia="Arial" w:hAnsi="Arial" w:cs="Arial"/>
                <w:b/>
                <w:color w:val="000000"/>
                <w:sz w:val="24"/>
                <w:szCs w:val="24"/>
              </w:rPr>
              <w:t>"KPI Credits"</w:t>
            </w:r>
          </w:p>
        </w:tc>
        <w:tc>
          <w:tcPr>
            <w:tcW w:w="5953" w:type="dxa"/>
          </w:tcPr>
          <w:p w14:paraId="0655553D" w14:textId="77777777" w:rsidR="00AE2F8A" w:rsidRDefault="00713AD8">
            <w:pPr>
              <w:pBdr>
                <w:top w:val="nil"/>
                <w:left w:val="nil"/>
                <w:bottom w:val="nil"/>
                <w:right w:val="nil"/>
                <w:between w:val="nil"/>
              </w:pBdr>
              <w:tabs>
                <w:tab w:val="left" w:pos="-9"/>
                <w:tab w:val="left" w:pos="-179"/>
              </w:tabs>
              <w:spacing w:after="120"/>
              <w:ind w:left="170"/>
              <w:rPr>
                <w:color w:val="000000"/>
                <w:sz w:val="24"/>
                <w:szCs w:val="24"/>
              </w:rPr>
            </w:pPr>
            <w:r>
              <w:rPr>
                <w:rFonts w:ascii="Arial" w:eastAsia="Arial" w:hAnsi="Arial" w:cs="Arial"/>
                <w:color w:val="000000"/>
                <w:sz w:val="24"/>
                <w:szCs w:val="24"/>
              </w:rPr>
              <w:t>any KPI Credits specified in the Annex to Part A of this Schedule being payable by the Supplier to the Buyer in respect of any failure by the Supplier to meet one or more KPIs;</w:t>
            </w:r>
          </w:p>
        </w:tc>
      </w:tr>
      <w:tr w:rsidR="00AE2F8A" w14:paraId="1264685B" w14:textId="77777777">
        <w:tc>
          <w:tcPr>
            <w:tcW w:w="2410" w:type="dxa"/>
          </w:tcPr>
          <w:p w14:paraId="160C5C61" w14:textId="77777777" w:rsidR="00AE2F8A" w:rsidRDefault="00713AD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tcPr>
          <w:p w14:paraId="7340A770" w14:textId="77777777" w:rsidR="00AE2F8A" w:rsidRDefault="00713AD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14:paraId="3104177E" w14:textId="77777777" w:rsidR="00AE2F8A" w:rsidRDefault="00AE2F8A">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14:paraId="05060B9A" w14:textId="77777777" w:rsidR="00AE2F8A" w:rsidRDefault="00713AD8">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smallCaps/>
          <w:color w:val="000000"/>
          <w:sz w:val="24"/>
          <w:szCs w:val="24"/>
        </w:rPr>
      </w:pPr>
      <w:r>
        <w:rPr>
          <w:rFonts w:ascii="Arial" w:eastAsia="Arial" w:hAnsi="Arial" w:cs="Arial"/>
          <w:b/>
          <w:color w:val="000000"/>
          <w:sz w:val="24"/>
          <w:szCs w:val="24"/>
        </w:rPr>
        <w:t>What happens if you don’t meet the KPIs</w:t>
      </w:r>
    </w:p>
    <w:p w14:paraId="53F7C9B8"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 for each KPI.</w:t>
      </w:r>
    </w:p>
    <w:p w14:paraId="64026937"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14:paraId="4B8B46DC"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392A44A2"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KPI Credit shall be the Buyer’s exclusive financial remedy for a KPI Failure except where:</w:t>
      </w:r>
    </w:p>
    <w:p w14:paraId="2597C51C" w14:textId="77777777" w:rsidR="00AE2F8A" w:rsidRDefault="00713AD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Failure:</w:t>
      </w:r>
    </w:p>
    <w:p w14:paraId="4A7176DF" w14:textId="77777777" w:rsidR="00AE2F8A" w:rsidRDefault="00713AD8">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7DEA2F96" w14:textId="77777777" w:rsidR="00AE2F8A" w:rsidRDefault="00713AD8">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1C3080E2" w14:textId="77777777" w:rsidR="00AE2F8A" w:rsidRDefault="00713AD8">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0BCD2D74" w14:textId="77777777" w:rsidR="00AE2F8A" w:rsidRDefault="00713AD8">
      <w:pPr>
        <w:numPr>
          <w:ilvl w:val="2"/>
          <w:numId w:val="3"/>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(When CCS or the buyer can end a contract).</w:t>
      </w:r>
    </w:p>
    <w:p w14:paraId="59557C54" w14:textId="77777777" w:rsidR="00AE2F8A" w:rsidRDefault="00713AD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14:paraId="3F8F7D67"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w:t>
      </w:r>
      <w:r>
        <w:rPr>
          <w:rFonts w:ascii="Arial" w:eastAsia="Arial" w:hAnsi="Arial" w:cs="Arial"/>
          <w:color w:val="000000"/>
          <w:sz w:val="24"/>
          <w:szCs w:val="24"/>
        </w:rPr>
        <w:lastRenderedPageBreak/>
        <w:t>KPI Performance Measure in respect of one or more KPIs and the Supplier shall not be entitled to object to, or increase the Charges as a result of such changes, provided that:</w:t>
      </w:r>
    </w:p>
    <w:p w14:paraId="7ECABEEB" w14:textId="77777777" w:rsidR="00AE2F8A" w:rsidRDefault="00713AD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KPIs for which the weighting is to be changed does not exceed the number applicable as at the Start Date; </w:t>
      </w:r>
    </w:p>
    <w:p w14:paraId="430B29CB" w14:textId="77777777" w:rsidR="00AE2F8A" w:rsidRDefault="00713AD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1E4F244B" w14:textId="77777777" w:rsidR="00AE2F8A" w:rsidRDefault="00713AD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At Risk Amount</w:t>
      </w:r>
    </w:p>
    <w:p w14:paraId="5D301907" w14:textId="77777777" w:rsidR="00AE2F8A" w:rsidRDefault="00713AD8">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smallCaps/>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Failure</w:t>
      </w:r>
    </w:p>
    <w:p w14:paraId="193CFBD6" w14:textId="77777777" w:rsidR="00AE2F8A" w:rsidRDefault="00713AD8">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 Failure:</w:t>
      </w:r>
    </w:p>
    <w:p w14:paraId="5395EF7F"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14:paraId="3A11C22A" w14:textId="77777777" w:rsidR="00AE2F8A" w:rsidRDefault="00713AD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be entitled to withhold and retain as compensation a sum equal to any Charges relating to the Persistent KPI Failure which would otherwise have been due to the Supplier in respect of that Service Period ("</w:t>
      </w:r>
      <w:r>
        <w:rPr>
          <w:rFonts w:ascii="Arial" w:eastAsia="Arial" w:hAnsi="Arial" w:cs="Arial"/>
          <w:b/>
          <w:color w:val="000000"/>
          <w:sz w:val="24"/>
          <w:szCs w:val="24"/>
        </w:rPr>
        <w:t>Compensation for Persistent KPI Failure</w:t>
      </w:r>
      <w:r>
        <w:rPr>
          <w:rFonts w:ascii="Arial" w:eastAsia="Arial" w:hAnsi="Arial" w:cs="Arial"/>
          <w:color w:val="000000"/>
          <w:sz w:val="24"/>
          <w:szCs w:val="24"/>
        </w:rPr>
        <w:t>"),</w:t>
      </w:r>
    </w:p>
    <w:p w14:paraId="565295BB" w14:textId="77777777" w:rsidR="00AE2F8A" w:rsidRDefault="00713AD8">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394703EC" w14:textId="77777777" w:rsidR="00AE2F8A" w:rsidRDefault="00AE2F8A">
      <w:pPr>
        <w:keepNext/>
        <w:pBdr>
          <w:top w:val="nil"/>
          <w:left w:val="nil"/>
          <w:bottom w:val="nil"/>
          <w:right w:val="nil"/>
          <w:between w:val="nil"/>
        </w:pBdr>
        <w:spacing w:after="240" w:line="240" w:lineRule="auto"/>
        <w:rPr>
          <w:rFonts w:ascii="Arial" w:eastAsia="Arial" w:hAnsi="Arial" w:cs="Arial"/>
          <w:color w:val="000000"/>
          <w:sz w:val="36"/>
          <w:szCs w:val="36"/>
        </w:rPr>
      </w:pPr>
      <w:bookmarkStart w:id="4" w:name="_heading=h.1fob9te" w:colFirst="0" w:colLast="0"/>
      <w:bookmarkEnd w:id="4"/>
    </w:p>
    <w:p w14:paraId="746E382B" w14:textId="77777777" w:rsidR="00AE2F8A" w:rsidRDefault="00713AD8">
      <w:pPr>
        <w:keepNext/>
        <w:pBdr>
          <w:top w:val="nil"/>
          <w:left w:val="nil"/>
          <w:bottom w:val="nil"/>
          <w:right w:val="nil"/>
          <w:between w:val="nil"/>
        </w:pBdr>
        <w:spacing w:after="240" w:line="240" w:lineRule="auto"/>
        <w:rPr>
          <w:rFonts w:ascii="Arial" w:eastAsia="Arial" w:hAnsi="Arial" w:cs="Arial"/>
          <w:smallCaps/>
          <w:color w:val="000000"/>
          <w:sz w:val="36"/>
          <w:szCs w:val="36"/>
        </w:rPr>
      </w:pPr>
      <w:r>
        <w:rPr>
          <w:rFonts w:ascii="Arial" w:eastAsia="Arial" w:hAnsi="Arial" w:cs="Arial"/>
          <w:b/>
          <w:color w:val="000000"/>
          <w:sz w:val="36"/>
          <w:szCs w:val="36"/>
        </w:rPr>
        <w:t xml:space="preserve">Part A: KPIs and KPI Credits </w:t>
      </w:r>
    </w:p>
    <w:p w14:paraId="436DB5BE" w14:textId="77777777" w:rsidR="00AE2F8A" w:rsidRDefault="00713AD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14:paraId="62E2180E" w14:textId="77777777" w:rsidR="00AE2F8A" w:rsidRDefault="00713AD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16C1CFB8" w14:textId="77777777" w:rsidR="00AE2F8A" w:rsidRDefault="00713AD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14:paraId="244A7846" w14:textId="77777777" w:rsidR="00AE2F8A" w:rsidRDefault="00713AD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Persistent Service Failure to occur, </w:t>
      </w:r>
    </w:p>
    <w:p w14:paraId="57F4D245" w14:textId="77777777" w:rsidR="00AE2F8A" w:rsidRDefault="00713AD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66338DC9" w14:textId="77777777" w:rsidR="00AE2F8A" w:rsidRDefault="00713AD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preventative and/or remedial action that is reasonable to mitigate the impact on the Buyer and to rectify or prevent a KPI Failure or Persistent KPI Failure from taking place or recurring; </w:t>
      </w:r>
    </w:p>
    <w:p w14:paraId="62D3475C" w14:textId="77777777" w:rsidR="00AE2F8A" w:rsidRDefault="00713AD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5E65917A" w14:textId="77777777" w:rsidR="00AE2F8A" w:rsidRDefault="00713AD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KPI Failure has occurred, deduct the applicable KPI Credits payable by the Supplier to the Buyer; and/or</w:t>
      </w:r>
    </w:p>
    <w:p w14:paraId="798AD53A" w14:textId="77777777" w:rsidR="00AE2F8A" w:rsidRDefault="00713AD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if a Persistent KPI Failure has occurred, exercise its right to Compensation for Persistent KPI Failure (including the right to terminate for material Default).</w:t>
      </w:r>
    </w:p>
    <w:p w14:paraId="5E22FF17" w14:textId="77777777" w:rsidR="00AE2F8A" w:rsidRDefault="00713AD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smallCaps/>
          <w:color w:val="000000"/>
          <w:sz w:val="24"/>
          <w:szCs w:val="24"/>
        </w:rPr>
      </w:pPr>
      <w:r>
        <w:rPr>
          <w:rFonts w:ascii="Arial" w:eastAsia="Arial" w:hAnsi="Arial" w:cs="Arial"/>
          <w:b/>
          <w:color w:val="000000"/>
          <w:sz w:val="24"/>
          <w:szCs w:val="24"/>
        </w:rPr>
        <w:t>KPI Credits</w:t>
      </w:r>
    </w:p>
    <w:p w14:paraId="7FA0FA48" w14:textId="77777777" w:rsidR="00AE2F8A" w:rsidRDefault="00713AD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14:paraId="5DAE8FB2" w14:textId="77777777" w:rsidR="00AE2F8A" w:rsidRDefault="00713AD8">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the 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below</w:t>
      </w:r>
      <w:r>
        <w:rPr>
          <w:rFonts w:ascii="Arial" w:eastAsia="Arial" w:hAnsi="Arial" w:cs="Arial"/>
          <w:sz w:val="24"/>
          <w:szCs w:val="24"/>
        </w:rPr>
        <w:t xml:space="preserve">. </w:t>
      </w:r>
    </w:p>
    <w:p w14:paraId="0CCB7D1A" w14:textId="77777777" w:rsidR="00AE2F8A" w:rsidRDefault="00713AD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14:paraId="758B1553"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14:paraId="73BE0AE8"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7" w:name="_heading=h.26in1rg" w:colFirst="0" w:colLast="0"/>
      <w:bookmarkEnd w:id="7"/>
      <w:r>
        <w:rPr>
          <w:rFonts w:ascii="Arial" w:eastAsia="Arial" w:hAnsi="Arial" w:cs="Arial"/>
          <w:color w:val="000000"/>
          <w:sz w:val="24"/>
          <w:szCs w:val="24"/>
        </w:rPr>
        <w:t xml:space="preserve">For a Service Period, the At Risk Amount shall be calculated in accordance with Section 2 - Calculation of At Risk Amount, of the Paymech Calc Overview tab of the </w:t>
      </w:r>
      <w:r>
        <w:rPr>
          <w:rFonts w:ascii="Arial" w:eastAsia="Arial" w:hAnsi="Arial" w:cs="Arial"/>
          <w:color w:val="222222"/>
          <w:sz w:val="24"/>
          <w:szCs w:val="24"/>
          <w:highlight w:val="white"/>
        </w:rPr>
        <w:t>KPI Paymech Model</w:t>
      </w:r>
      <w:r>
        <w:rPr>
          <w:rFonts w:ascii="Arial" w:eastAsia="Arial" w:hAnsi="Arial" w:cs="Arial"/>
          <w:color w:val="000000"/>
          <w:sz w:val="24"/>
          <w:szCs w:val="24"/>
        </w:rPr>
        <w:t>.</w:t>
      </w:r>
    </w:p>
    <w:p w14:paraId="5CB56CED"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lnxbz9" w:colFirst="0" w:colLast="0"/>
      <w:bookmarkEnd w:id="8"/>
      <w:r>
        <w:rPr>
          <w:rFonts w:ascii="Arial" w:eastAsia="Arial" w:hAnsi="Arial" w:cs="Arial"/>
          <w:color w:val="000000"/>
          <w:sz w:val="24"/>
          <w:szCs w:val="24"/>
        </w:rPr>
        <w:t xml:space="preserve">KPI Category At Risk Amount </w:t>
      </w:r>
    </w:p>
    <w:p w14:paraId="3720A9AC"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KPI Category At Risk Amount shall be calculated as follows: for each KPI Category, the At Risk Amount shall be apportioned to it in accordance with the KPI Category Weightings in the column headed KPI Weighting in the KPI Table 2 of the KPI Measures tab of the KPI Paymech Model.</w:t>
      </w:r>
    </w:p>
    <w:p w14:paraId="7B1A02B3"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5nkun2" w:colFirst="0" w:colLast="0"/>
      <w:bookmarkEnd w:id="9"/>
      <w:r>
        <w:rPr>
          <w:rFonts w:ascii="Arial" w:eastAsia="Arial" w:hAnsi="Arial" w:cs="Arial"/>
          <w:color w:val="000000"/>
          <w:sz w:val="24"/>
          <w:szCs w:val="24"/>
        </w:rPr>
        <w:t xml:space="preserve">KPI At Risk Amount </w:t>
      </w:r>
    </w:p>
    <w:p w14:paraId="2FE6775A"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At Risk Amount shall be calculated as follows: the KPI Category At Risk Amount that applies to the KPI Category in which the relevant KPI resides, shall be further apportioned in accordance with the KPI Measure Weightings in the column headed </w:t>
      </w:r>
      <w:r>
        <w:rPr>
          <w:rFonts w:ascii="Arial" w:eastAsia="Arial" w:hAnsi="Arial" w:cs="Arial"/>
          <w:color w:val="222222"/>
          <w:sz w:val="24"/>
          <w:szCs w:val="24"/>
          <w:highlight w:val="white"/>
        </w:rPr>
        <w:t>Measure Weighting in Table 3. Measures of the KPI Measures tab of the KPI Paymech Model.</w:t>
      </w:r>
    </w:p>
    <w:p w14:paraId="377D87F2"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14:paraId="65D516FE"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KPI Credit to be applied to a KPI in a Service Period for a KPI Failure shall be calculated in accordance with the KPI Measures tab of the KPI Paymech Model by:</w:t>
      </w:r>
    </w:p>
    <w:p w14:paraId="3AE00470" w14:textId="77777777" w:rsidR="00AE2F8A" w:rsidRDefault="00713AD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percentage, calculated using the Scoring Scales tab of the KPI Paymech Model) achieved by the Supplier against the KPI Performance Measure in that Service Period; and </w:t>
      </w:r>
    </w:p>
    <w:p w14:paraId="3F170152" w14:textId="77777777" w:rsidR="00AE2F8A" w:rsidRDefault="00713AD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percentage by the KPI At Risk Amount.</w:t>
      </w:r>
    </w:p>
    <w:p w14:paraId="709A8F50" w14:textId="77777777" w:rsidR="00AE2F8A" w:rsidRDefault="00713AD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0" w:name="_heading=h.1ksv4uv" w:colFirst="0" w:colLast="0"/>
      <w:bookmarkEnd w:id="10"/>
      <w:r>
        <w:rPr>
          <w:rFonts w:ascii="Arial" w:eastAsia="Arial" w:hAnsi="Arial" w:cs="Arial"/>
          <w:b/>
          <w:color w:val="000000"/>
        </w:rPr>
        <w:t>KPI Credit Ratchet</w:t>
      </w:r>
    </w:p>
    <w:p w14:paraId="7478D8CF"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44sinio" w:colFirst="0" w:colLast="0"/>
      <w:bookmarkEnd w:id="11"/>
      <w:r>
        <w:rPr>
          <w:rFonts w:ascii="Arial" w:eastAsia="Arial" w:hAnsi="Arial" w:cs="Arial"/>
          <w:color w:val="000000"/>
          <w:sz w:val="24"/>
          <w:szCs w:val="24"/>
        </w:rPr>
        <w:lastRenderedPageBreak/>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14:paraId="5B227B01"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 circumstances occur:</w:t>
      </w:r>
    </w:p>
    <w:p w14:paraId="54D5AE4D"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14:paraId="248CB11E"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14:paraId="44738A04"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Ratchet and when it is to be applied pursuant to Paragraph 4.2, </w:t>
      </w:r>
      <w:r>
        <w:rPr>
          <w:rFonts w:ascii="Arial" w:eastAsia="Arial" w:hAnsi="Arial" w:cs="Arial"/>
          <w:color w:val="222222"/>
          <w:sz w:val="24"/>
          <w:szCs w:val="24"/>
          <w:highlight w:val="white"/>
        </w:rPr>
        <w:t>is set out in the Perf Ded_Adj and Earnback Calc tab of the KPI Paymech Model</w:t>
      </w:r>
      <w:r>
        <w:rPr>
          <w:rFonts w:ascii="Arial" w:eastAsia="Arial" w:hAnsi="Arial" w:cs="Arial"/>
          <w:color w:val="000000"/>
          <w:sz w:val="24"/>
          <w:szCs w:val="24"/>
        </w:rPr>
        <w:t>.</w:t>
      </w:r>
    </w:p>
    <w:p w14:paraId="1F82852F"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of the Ratchet, for example:</w:t>
      </w:r>
    </w:p>
    <w:p w14:paraId="6D3C2BB8"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(refer to table 1 in 4.4.3); and</w:t>
      </w:r>
    </w:p>
    <w:p w14:paraId="38663545"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 (refer to table 1 in 4.4.3).</w:t>
      </w:r>
    </w:p>
    <w:p w14:paraId="4416629F"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Illustration of Ratchets to be applied in table form;</w:t>
      </w:r>
    </w:p>
    <w:tbl>
      <w:tblPr>
        <w:tblStyle w:val="afff"/>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AE2F8A" w14:paraId="03FC8357" w14:textId="77777777">
        <w:trPr>
          <w:trHeight w:val="840"/>
        </w:trPr>
        <w:tc>
          <w:tcPr>
            <w:tcW w:w="1700" w:type="dxa"/>
            <w:tcBorders>
              <w:top w:val="single" w:sz="8" w:space="0" w:color="000000"/>
              <w:left w:val="single" w:sz="8" w:space="0" w:color="000000"/>
              <w:bottom w:val="single" w:sz="4" w:space="0" w:color="000000"/>
              <w:right w:val="single" w:sz="4" w:space="0" w:color="000000"/>
            </w:tcBorders>
            <w:vAlign w:val="center"/>
          </w:tcPr>
          <w:p w14:paraId="29D23D56" w14:textId="77777777" w:rsidR="00AE2F8A" w:rsidRDefault="00713AD8">
            <w:pPr>
              <w:rPr>
                <w:rFonts w:ascii="Arial" w:eastAsia="Arial" w:hAnsi="Arial" w:cs="Arial"/>
                <w:b/>
                <w:color w:val="000000"/>
              </w:rPr>
            </w:pPr>
            <w:r>
              <w:rPr>
                <w:rFonts w:ascii="Arial" w:eastAsia="Arial" w:hAnsi="Arial" w:cs="Arial"/>
                <w:b/>
                <w:color w:val="000000"/>
              </w:rPr>
              <w:t>Table 1: RATCHET OPTIONS</w:t>
            </w:r>
          </w:p>
        </w:tc>
        <w:tc>
          <w:tcPr>
            <w:tcW w:w="1843" w:type="dxa"/>
            <w:tcBorders>
              <w:top w:val="single" w:sz="8" w:space="0" w:color="000000"/>
              <w:left w:val="nil"/>
              <w:bottom w:val="single" w:sz="4" w:space="0" w:color="000000"/>
              <w:right w:val="single" w:sz="4" w:space="0" w:color="000000"/>
            </w:tcBorders>
            <w:vAlign w:val="center"/>
          </w:tcPr>
          <w:p w14:paraId="0187E257" w14:textId="77777777" w:rsidR="00AE2F8A" w:rsidRDefault="00713AD8">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vAlign w:val="center"/>
          </w:tcPr>
          <w:p w14:paraId="5502CBC4" w14:textId="77777777" w:rsidR="00AE2F8A" w:rsidRDefault="00713AD8">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vAlign w:val="center"/>
          </w:tcPr>
          <w:p w14:paraId="675005D4" w14:textId="77777777" w:rsidR="00AE2F8A" w:rsidRDefault="00713AD8">
            <w:pPr>
              <w:jc w:val="center"/>
              <w:rPr>
                <w:rFonts w:ascii="Arial" w:eastAsia="Arial" w:hAnsi="Arial" w:cs="Arial"/>
                <w:b/>
                <w:color w:val="000000"/>
              </w:rPr>
            </w:pPr>
            <w:r>
              <w:rPr>
                <w:rFonts w:ascii="Arial" w:eastAsia="Arial" w:hAnsi="Arial" w:cs="Arial"/>
                <w:b/>
                <w:color w:val="000000"/>
              </w:rPr>
              <w:t>Failure over a 12 Month Rolling Period</w:t>
            </w:r>
          </w:p>
        </w:tc>
      </w:tr>
      <w:tr w:rsidR="00AE2F8A" w14:paraId="19EA4A81" w14:textId="77777777">
        <w:trPr>
          <w:trHeight w:val="255"/>
        </w:trPr>
        <w:tc>
          <w:tcPr>
            <w:tcW w:w="1700" w:type="dxa"/>
            <w:tcBorders>
              <w:top w:val="nil"/>
              <w:left w:val="single" w:sz="8" w:space="0" w:color="000000"/>
              <w:bottom w:val="single" w:sz="4" w:space="0" w:color="000000"/>
              <w:right w:val="single" w:sz="4" w:space="0" w:color="000000"/>
            </w:tcBorders>
            <w:vAlign w:val="center"/>
          </w:tcPr>
          <w:p w14:paraId="0947549C" w14:textId="77777777" w:rsidR="00AE2F8A" w:rsidRDefault="00713AD8">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vAlign w:val="center"/>
          </w:tcPr>
          <w:p w14:paraId="10859A66" w14:textId="77777777" w:rsidR="00AE2F8A" w:rsidRDefault="00713AD8">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vAlign w:val="center"/>
          </w:tcPr>
          <w:p w14:paraId="7080F798" w14:textId="77777777" w:rsidR="00AE2F8A" w:rsidRDefault="00713AD8">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vAlign w:val="center"/>
          </w:tcPr>
          <w:p w14:paraId="1EA7796F" w14:textId="77777777" w:rsidR="00AE2F8A" w:rsidRDefault="00713AD8">
            <w:pPr>
              <w:jc w:val="center"/>
              <w:rPr>
                <w:rFonts w:ascii="Arial" w:eastAsia="Arial" w:hAnsi="Arial" w:cs="Arial"/>
                <w:color w:val="000000"/>
              </w:rPr>
            </w:pPr>
            <w:r>
              <w:rPr>
                <w:rFonts w:ascii="Arial" w:eastAsia="Arial" w:hAnsi="Arial" w:cs="Arial"/>
                <w:color w:val="000000"/>
              </w:rPr>
              <w:t> </w:t>
            </w:r>
          </w:p>
        </w:tc>
      </w:tr>
      <w:tr w:rsidR="00AE2F8A" w14:paraId="2CEEB52A" w14:textId="77777777">
        <w:trPr>
          <w:trHeight w:val="255"/>
        </w:trPr>
        <w:tc>
          <w:tcPr>
            <w:tcW w:w="1700" w:type="dxa"/>
            <w:tcBorders>
              <w:top w:val="nil"/>
              <w:left w:val="single" w:sz="8" w:space="0" w:color="000000"/>
              <w:bottom w:val="single" w:sz="4" w:space="0" w:color="000000"/>
              <w:right w:val="single" w:sz="4" w:space="0" w:color="000000"/>
            </w:tcBorders>
            <w:vAlign w:val="center"/>
          </w:tcPr>
          <w:p w14:paraId="4C38ECA9" w14:textId="77777777" w:rsidR="00AE2F8A" w:rsidRDefault="00713AD8">
            <w:pPr>
              <w:rPr>
                <w:rFonts w:ascii="Arial" w:eastAsia="Arial" w:hAnsi="Arial" w:cs="Arial"/>
                <w:color w:val="000000"/>
              </w:rPr>
            </w:pPr>
            <w:r>
              <w:rPr>
                <w:rFonts w:ascii="Arial" w:eastAsia="Arial" w:hAnsi="Arial" w:cs="Arial"/>
                <w:color w:val="000000"/>
              </w:rPr>
              <w:t>Ratchet 1</w:t>
            </w:r>
          </w:p>
        </w:tc>
        <w:tc>
          <w:tcPr>
            <w:tcW w:w="1843" w:type="dxa"/>
            <w:tcBorders>
              <w:top w:val="nil"/>
              <w:left w:val="nil"/>
              <w:bottom w:val="single" w:sz="4" w:space="0" w:color="000000"/>
              <w:right w:val="single" w:sz="4" w:space="0" w:color="000000"/>
            </w:tcBorders>
            <w:vAlign w:val="center"/>
          </w:tcPr>
          <w:p w14:paraId="3EDBF945" w14:textId="77777777" w:rsidR="00AE2F8A" w:rsidRDefault="00713AD8">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vAlign w:val="center"/>
          </w:tcPr>
          <w:p w14:paraId="17F698CC" w14:textId="77777777" w:rsidR="00AE2F8A" w:rsidRDefault="00713AD8">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vAlign w:val="center"/>
          </w:tcPr>
          <w:p w14:paraId="6A507D95" w14:textId="77777777" w:rsidR="00AE2F8A" w:rsidRDefault="00713AD8">
            <w:pPr>
              <w:jc w:val="center"/>
              <w:rPr>
                <w:rFonts w:ascii="Arial" w:eastAsia="Arial" w:hAnsi="Arial" w:cs="Arial"/>
                <w:color w:val="000000"/>
              </w:rPr>
            </w:pPr>
            <w:r>
              <w:rPr>
                <w:rFonts w:ascii="Arial" w:eastAsia="Arial" w:hAnsi="Arial" w:cs="Arial"/>
                <w:color w:val="000000"/>
              </w:rPr>
              <w:t>3</w:t>
            </w:r>
          </w:p>
        </w:tc>
      </w:tr>
      <w:tr w:rsidR="00AE2F8A" w14:paraId="3AA72BE5" w14:textId="77777777">
        <w:trPr>
          <w:trHeight w:val="255"/>
        </w:trPr>
        <w:tc>
          <w:tcPr>
            <w:tcW w:w="1700" w:type="dxa"/>
            <w:tcBorders>
              <w:top w:val="nil"/>
              <w:left w:val="single" w:sz="8" w:space="0" w:color="000000"/>
              <w:bottom w:val="single" w:sz="4" w:space="0" w:color="000000"/>
              <w:right w:val="single" w:sz="4" w:space="0" w:color="000000"/>
            </w:tcBorders>
            <w:vAlign w:val="center"/>
          </w:tcPr>
          <w:p w14:paraId="5CA8E5A5" w14:textId="77777777" w:rsidR="00AE2F8A" w:rsidRDefault="00713AD8">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vAlign w:val="center"/>
          </w:tcPr>
          <w:p w14:paraId="567EDF87" w14:textId="77777777" w:rsidR="00AE2F8A" w:rsidRDefault="00713AD8">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vAlign w:val="center"/>
          </w:tcPr>
          <w:p w14:paraId="5C523028" w14:textId="77777777" w:rsidR="00AE2F8A" w:rsidRDefault="00713AD8">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vAlign w:val="center"/>
          </w:tcPr>
          <w:p w14:paraId="580E60DF" w14:textId="77777777" w:rsidR="00AE2F8A" w:rsidRDefault="00713AD8">
            <w:pPr>
              <w:jc w:val="center"/>
              <w:rPr>
                <w:rFonts w:ascii="Arial" w:eastAsia="Arial" w:hAnsi="Arial" w:cs="Arial"/>
                <w:color w:val="000000"/>
              </w:rPr>
            </w:pPr>
            <w:r>
              <w:rPr>
                <w:rFonts w:ascii="Arial" w:eastAsia="Arial" w:hAnsi="Arial" w:cs="Arial"/>
                <w:color w:val="000000"/>
              </w:rPr>
              <w:t>4,5</w:t>
            </w:r>
          </w:p>
        </w:tc>
      </w:tr>
      <w:tr w:rsidR="00AE2F8A" w14:paraId="64E1BC07" w14:textId="77777777">
        <w:trPr>
          <w:trHeight w:val="270"/>
        </w:trPr>
        <w:tc>
          <w:tcPr>
            <w:tcW w:w="1700" w:type="dxa"/>
            <w:tcBorders>
              <w:top w:val="nil"/>
              <w:left w:val="single" w:sz="8" w:space="0" w:color="000000"/>
              <w:bottom w:val="single" w:sz="8" w:space="0" w:color="000000"/>
              <w:right w:val="single" w:sz="4" w:space="0" w:color="000000"/>
            </w:tcBorders>
            <w:vAlign w:val="center"/>
          </w:tcPr>
          <w:p w14:paraId="3A4BC4B6" w14:textId="77777777" w:rsidR="00AE2F8A" w:rsidRDefault="00713AD8">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vAlign w:val="center"/>
          </w:tcPr>
          <w:p w14:paraId="07C64FC4" w14:textId="77777777" w:rsidR="00AE2F8A" w:rsidRDefault="00713AD8">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vAlign w:val="center"/>
          </w:tcPr>
          <w:p w14:paraId="5DEEB6EB" w14:textId="77777777" w:rsidR="00AE2F8A" w:rsidRDefault="00713AD8">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vAlign w:val="center"/>
          </w:tcPr>
          <w:p w14:paraId="29EC2F5D" w14:textId="77777777" w:rsidR="00AE2F8A" w:rsidRDefault="00713AD8">
            <w:pPr>
              <w:jc w:val="center"/>
              <w:rPr>
                <w:rFonts w:ascii="Arial" w:eastAsia="Arial" w:hAnsi="Arial" w:cs="Arial"/>
                <w:color w:val="000000"/>
              </w:rPr>
            </w:pPr>
            <w:r>
              <w:rPr>
                <w:rFonts w:ascii="Arial" w:eastAsia="Arial" w:hAnsi="Arial" w:cs="Arial"/>
                <w:color w:val="000000"/>
              </w:rPr>
              <w:t>6,7,8,9,10,11,12</w:t>
            </w:r>
          </w:p>
        </w:tc>
      </w:tr>
    </w:tbl>
    <w:p w14:paraId="42F7500E" w14:textId="77777777" w:rsidR="00AE2F8A" w:rsidRDefault="00AE2F8A">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14:paraId="24C6F810"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14:paraId="00274287" w14:textId="77777777" w:rsidR="00AE2F8A" w:rsidRDefault="00713AD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2" w:name="_heading=h.z337ya" w:colFirst="0" w:colLast="0"/>
      <w:bookmarkEnd w:id="12"/>
      <w:r>
        <w:rPr>
          <w:rFonts w:ascii="Arial" w:eastAsia="Arial" w:hAnsi="Arial" w:cs="Arial"/>
          <w:b/>
          <w:color w:val="000000"/>
          <w:sz w:val="24"/>
          <w:szCs w:val="24"/>
        </w:rPr>
        <w:t>KPI Credit Earn Back</w:t>
      </w:r>
    </w:p>
    <w:p w14:paraId="7D2FD7CE"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3j2qqm3" w:colFirst="0" w:colLast="0"/>
      <w:bookmarkEnd w:id="13"/>
      <w:r>
        <w:rPr>
          <w:rFonts w:ascii="Arial" w:eastAsia="Arial" w:hAnsi="Arial" w:cs="Arial"/>
          <w:color w:val="000000"/>
          <w:sz w:val="24"/>
          <w:szCs w:val="24"/>
        </w:rPr>
        <w:t>If:</w:t>
      </w:r>
    </w:p>
    <w:p w14:paraId="2F7704D5"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1y810tw" w:colFirst="0" w:colLast="0"/>
      <w:bookmarkEnd w:id="14"/>
      <w:r>
        <w:rPr>
          <w:rFonts w:ascii="Arial" w:eastAsia="Arial" w:hAnsi="Arial" w:cs="Arial"/>
          <w:color w:val="000000"/>
          <w:sz w:val="24"/>
          <w:szCs w:val="24"/>
        </w:rPr>
        <w:lastRenderedPageBreak/>
        <w:t>in respect of a Service Period the Supplier has been liable to pay (and has paid) a KPI Credit in relation to a KPI Category; and</w:t>
      </w:r>
    </w:p>
    <w:p w14:paraId="04011F26" w14:textId="77777777" w:rsidR="00AE2F8A" w:rsidRDefault="00713AD8">
      <w:pPr>
        <w:numPr>
          <w:ilvl w:val="2"/>
          <w:numId w:val="1"/>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14:paraId="3A149806"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14:paraId="4318DFE4"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14:paraId="2C521322"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14:paraId="63B4C901" w14:textId="77777777" w:rsidR="00AE2F8A" w:rsidRDefault="00713AD8">
      <w:pPr>
        <w:numPr>
          <w:ilvl w:val="0"/>
          <w:numId w:val="1"/>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14:paraId="29901A69"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14:paraId="1851E8F7"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znysh7" w:colFirst="0" w:colLast="0"/>
      <w:bookmarkEnd w:id="15"/>
      <w:r>
        <w:rPr>
          <w:rFonts w:ascii="Arial" w:eastAsia="Arial" w:hAnsi="Arial" w:cs="Arial"/>
          <w:color w:val="000000"/>
          <w:sz w:val="24"/>
          <w:szCs w:val="24"/>
        </w:rPr>
        <w:t>a KPI Failure in respect of any one or more of the KPIs comprised in the same KPI Category occurs in five (5) consecutive Service Periods;</w:t>
      </w:r>
    </w:p>
    <w:p w14:paraId="196315C3" w14:textId="77777777" w:rsidR="00AE2F8A" w:rsidRDefault="00713AD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Failure in respect of any one or more of the KPIs comprised in the same KPI Category occurs in any seven (7) Service Periods in the immediately preceding twelve (12) Service Periods.</w:t>
      </w:r>
    </w:p>
    <w:p w14:paraId="09469F01" w14:textId="77777777" w:rsidR="00AE2F8A" w:rsidRDefault="00713AD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14:paraId="754E8F93" w14:textId="77777777" w:rsidR="00AE2F8A" w:rsidRDefault="00AE2F8A">
      <w:pPr>
        <w:pBdr>
          <w:top w:val="nil"/>
          <w:left w:val="nil"/>
          <w:bottom w:val="nil"/>
          <w:right w:val="nil"/>
          <w:between w:val="nil"/>
        </w:pBdr>
        <w:spacing w:before="120" w:after="120" w:line="240" w:lineRule="auto"/>
        <w:rPr>
          <w:rFonts w:ascii="Arial" w:eastAsia="Arial" w:hAnsi="Arial" w:cs="Arial"/>
          <w:b/>
          <w:color w:val="000000"/>
          <w:sz w:val="36"/>
          <w:szCs w:val="36"/>
        </w:rPr>
      </w:pPr>
    </w:p>
    <w:p w14:paraId="61E6ECAB" w14:textId="77777777" w:rsidR="00AE2F8A" w:rsidRDefault="00AE2F8A">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6" w:name="_heading=h.tyjcwt" w:colFirst="0" w:colLast="0"/>
      <w:bookmarkEnd w:id="16"/>
    </w:p>
    <w:p w14:paraId="7312361B" w14:textId="77777777" w:rsidR="00AE2F8A" w:rsidRDefault="00713AD8">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 A to Part A – KPI_Paymech Model</w:t>
      </w:r>
    </w:p>
    <w:p w14:paraId="580B19CF" w14:textId="63EE4559" w:rsidR="00AE2F8A" w:rsidRDefault="00713AD8" w:rsidP="00713AD8">
      <w:pPr>
        <w:pBdr>
          <w:top w:val="nil"/>
          <w:left w:val="nil"/>
          <w:bottom w:val="nil"/>
          <w:right w:val="nil"/>
          <w:between w:val="nil"/>
        </w:pBdr>
        <w:spacing w:before="120" w:after="120" w:line="240" w:lineRule="auto"/>
        <w:ind w:left="720" w:firstLine="720"/>
        <w:rPr>
          <w:rFonts w:ascii="Arial" w:eastAsia="Times New Roman" w:hAnsi="Arial" w:cs="Arial"/>
          <w:sz w:val="24"/>
          <w:szCs w:val="24"/>
        </w:rPr>
      </w:pPr>
      <w:bookmarkStart w:id="17" w:name="_heading=h.3dy6vkm" w:colFirst="0" w:colLast="0"/>
      <w:bookmarkStart w:id="18" w:name="_heading=h.4d34og8" w:colFirst="0" w:colLast="0"/>
      <w:bookmarkEnd w:id="17"/>
      <w:bookmarkEnd w:id="18"/>
      <w:r w:rsidRPr="00713AD8">
        <w:rPr>
          <w:rFonts w:ascii="Arial" w:eastAsia="Times New Roman" w:hAnsi="Arial" w:cs="Arial"/>
          <w:sz w:val="24"/>
          <w:szCs w:val="24"/>
        </w:rPr>
        <w:t>See RM6257-Attachment-3-Annex-B-KPI-Pay-Mech-Model</w:t>
      </w:r>
    </w:p>
    <w:p w14:paraId="7EE13589" w14:textId="54DDF236" w:rsidR="00215BB9" w:rsidRPr="00713AD8" w:rsidRDefault="00215BB9" w:rsidP="00215BB9">
      <w:p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object w:dxaOrig="1508" w:dyaOrig="982" w14:anchorId="61A1D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8" o:title=""/>
          </v:shape>
          <o:OLEObject Type="Embed" ProgID="Excel.Sheet.12" ShapeID="_x0000_i1025" DrawAspect="Icon" ObjectID="_1829288686" r:id="rId9"/>
        </w:object>
      </w:r>
    </w:p>
    <w:p w14:paraId="1059B61C" w14:textId="77777777" w:rsidR="00713AD8" w:rsidRDefault="00713AD8">
      <w:pPr>
        <w:pBdr>
          <w:top w:val="nil"/>
          <w:left w:val="nil"/>
          <w:bottom w:val="nil"/>
          <w:right w:val="nil"/>
          <w:between w:val="nil"/>
        </w:pBdr>
        <w:spacing w:before="120" w:after="120" w:line="240" w:lineRule="auto"/>
        <w:rPr>
          <w:rFonts w:ascii="Arial" w:eastAsia="Arial" w:hAnsi="Arial" w:cs="Arial"/>
          <w:b/>
          <w:color w:val="000000"/>
          <w:sz w:val="36"/>
          <w:szCs w:val="36"/>
        </w:rPr>
      </w:pPr>
    </w:p>
    <w:p w14:paraId="6034DE81" w14:textId="01CD10BC" w:rsidR="00AE2F8A" w:rsidRPr="00F55802" w:rsidRDefault="00713AD8">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 B to Part A – Publishable KPI’s</w:t>
      </w:r>
    </w:p>
    <w:p w14:paraId="6748EF99" w14:textId="77777777" w:rsidR="00AE2F8A" w:rsidRDefault="00AE2F8A">
      <w:pPr>
        <w:pBdr>
          <w:top w:val="nil"/>
          <w:left w:val="nil"/>
          <w:bottom w:val="nil"/>
          <w:right w:val="nil"/>
          <w:between w:val="nil"/>
        </w:pBdr>
        <w:spacing w:before="120" w:after="120" w:line="240" w:lineRule="auto"/>
        <w:rPr>
          <w:rFonts w:ascii="Arial" w:eastAsia="Arial" w:hAnsi="Arial" w:cs="Arial"/>
        </w:rPr>
      </w:pPr>
    </w:p>
    <w:p w14:paraId="741CC0A2" w14:textId="77777777" w:rsidR="00AE2F8A" w:rsidRDefault="00AE2F8A">
      <w:pPr>
        <w:pBdr>
          <w:top w:val="nil"/>
          <w:left w:val="nil"/>
          <w:bottom w:val="nil"/>
          <w:right w:val="nil"/>
          <w:between w:val="nil"/>
        </w:pBdr>
        <w:spacing w:before="120" w:after="120" w:line="240" w:lineRule="auto"/>
        <w:rPr>
          <w:rFonts w:ascii="Arial" w:eastAsia="Arial" w:hAnsi="Arial" w:cs="Arial"/>
        </w:rPr>
      </w:pPr>
    </w:p>
    <w:p w14:paraId="0E16F0F4" w14:textId="77777777" w:rsidR="00AE2F8A" w:rsidRDefault="00713AD8">
      <w:pPr>
        <w:pBdr>
          <w:top w:val="nil"/>
          <w:left w:val="nil"/>
          <w:bottom w:val="nil"/>
          <w:right w:val="nil"/>
          <w:between w:val="nil"/>
        </w:pBdr>
        <w:spacing w:before="120" w:after="120" w:line="240" w:lineRule="auto"/>
        <w:rPr>
          <w:rFonts w:ascii="Arial" w:eastAsia="Arial" w:hAnsi="Arial" w:cs="Arial"/>
          <w:smallCaps/>
        </w:rPr>
      </w:pPr>
      <w:r>
        <w:rPr>
          <w:rFonts w:ascii="Arial" w:eastAsia="Arial" w:hAnsi="Arial" w:cs="Arial"/>
          <w:b/>
          <w:color w:val="000000"/>
          <w:sz w:val="36"/>
          <w:szCs w:val="36"/>
        </w:rPr>
        <w:t xml:space="preserve">Part B: Performance Monitoring </w:t>
      </w:r>
    </w:p>
    <w:p w14:paraId="21267BE9" w14:textId="77777777" w:rsidR="00AE2F8A" w:rsidRDefault="00713AD8">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smallCaps/>
          <w:color w:val="000000"/>
          <w:sz w:val="24"/>
          <w:szCs w:val="24"/>
        </w:rPr>
      </w:pPr>
      <w:r>
        <w:rPr>
          <w:rFonts w:ascii="Arial" w:eastAsia="Arial" w:hAnsi="Arial" w:cs="Arial"/>
          <w:b/>
          <w:color w:val="000000"/>
          <w:sz w:val="24"/>
          <w:szCs w:val="24"/>
        </w:rPr>
        <w:lastRenderedPageBreak/>
        <w:t>Performance Monitoring and Performance Review</w:t>
      </w:r>
    </w:p>
    <w:p w14:paraId="5C6C671E" w14:textId="77777777" w:rsidR="00AE2F8A" w:rsidRDefault="00713AD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14:paraId="45BCE30F" w14:textId="77777777" w:rsidR="00AE2F8A" w:rsidRDefault="00713AD8">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in the same format as that in the KPI Paymech Model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14:paraId="7A5F8545"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KPI, the actual performance achieved over the KPI for the relevant Service Period;</w:t>
      </w:r>
    </w:p>
    <w:p w14:paraId="3D88AB91"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KPIs that occurred during that Service Period;</w:t>
      </w:r>
    </w:p>
    <w:p w14:paraId="3F2AAB20"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Persistent KPI Failures;</w:t>
      </w:r>
    </w:p>
    <w:p w14:paraId="62F3AF1C"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Persistent failures, actions taken to resolve the underlying cause and prevent recurrence;</w:t>
      </w:r>
    </w:p>
    <w:p w14:paraId="39919FC3"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KPI Credits to be applied in respect of the relevant Service Period indicating the KPI Failures and KPIs to which the KPI Credits relate; and</w:t>
      </w:r>
    </w:p>
    <w:p w14:paraId="22AAC678"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0C8CC024" w14:textId="77777777" w:rsidR="00AE2F8A" w:rsidRDefault="00713AD8">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0EB3D0B1"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2359BED7"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44FAFBD9" w14:textId="77777777" w:rsidR="00AE2F8A" w:rsidRDefault="00713AD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6B9C8115" w14:textId="77777777" w:rsidR="00AE2F8A" w:rsidRDefault="00713AD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6E10E6E1" w14:textId="77777777" w:rsidR="00AE2F8A" w:rsidRDefault="00713AD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provide to the Buyer such documentation as the Buyer may reasonably require in order to verify the level of the performance by the Supplier and the calculations of the amount of KPI Credits for any specified Service Period.</w:t>
      </w:r>
    </w:p>
    <w:p w14:paraId="19764771" w14:textId="77777777" w:rsidR="00AE2F8A" w:rsidRDefault="00AE2F8A">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699F7DB5" w14:textId="77777777" w:rsidR="00AE2F8A" w:rsidRDefault="00713AD8">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smallCaps/>
          <w:color w:val="000000"/>
          <w:sz w:val="24"/>
          <w:szCs w:val="24"/>
        </w:rPr>
      </w:pPr>
      <w:r>
        <w:rPr>
          <w:rFonts w:ascii="Arial" w:eastAsia="Arial" w:hAnsi="Arial" w:cs="Arial"/>
          <w:b/>
          <w:color w:val="000000"/>
          <w:sz w:val="24"/>
          <w:szCs w:val="24"/>
        </w:rPr>
        <w:t>Satisfaction Surveys</w:t>
      </w:r>
    </w:p>
    <w:p w14:paraId="26A689C8" w14:textId="77777777" w:rsidR="00AE2F8A" w:rsidRDefault="00713AD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 Contract.</w:t>
      </w:r>
    </w:p>
    <w:p w14:paraId="5E008F40" w14:textId="77777777" w:rsidR="00AE2F8A" w:rsidRDefault="00AE2F8A">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9" w:name="_heading=h.30j0zll" w:colFirst="0" w:colLast="0"/>
      <w:bookmarkEnd w:id="19"/>
    </w:p>
    <w:sectPr w:rsidR="00AE2F8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7C98" w14:textId="77777777" w:rsidR="00B0057B" w:rsidRDefault="00B0057B">
      <w:pPr>
        <w:spacing w:after="0" w:line="240" w:lineRule="auto"/>
      </w:pPr>
      <w:r>
        <w:separator/>
      </w:r>
    </w:p>
  </w:endnote>
  <w:endnote w:type="continuationSeparator" w:id="0">
    <w:p w14:paraId="18D31DDB" w14:textId="77777777" w:rsidR="00B0057B" w:rsidRDefault="00B00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EDB1" w14:textId="77777777" w:rsidR="00AE2F8A" w:rsidRDefault="00AE2F8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4CDB" w14:textId="77777777" w:rsidR="00AE2F8A" w:rsidRDefault="00AE2F8A">
    <w:pPr>
      <w:tabs>
        <w:tab w:val="center" w:pos="4513"/>
        <w:tab w:val="right" w:pos="9026"/>
      </w:tabs>
      <w:spacing w:after="0" w:line="240" w:lineRule="auto"/>
      <w:jc w:val="both"/>
    </w:pPr>
  </w:p>
  <w:p w14:paraId="53615A21"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r>
      <w:t xml:space="preserve">     </w:t>
    </w:r>
  </w:p>
  <w:p w14:paraId="58CB8578"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0" w:name="_heading=h.bz57ntf7vv5" w:colFirst="0" w:colLast="0"/>
    <w:bookmarkEnd w:id="20"/>
    <w:r>
      <w:rPr>
        <w:rFonts w:ascii="Arial" w:eastAsia="Arial" w:hAnsi="Arial" w:cs="Arial"/>
        <w:color w:val="000000"/>
        <w:sz w:val="20"/>
        <w:szCs w:val="20"/>
      </w:rPr>
      <w:t>Project Version: v3.0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2CC3280"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 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ABB" w14:textId="77777777" w:rsidR="00AE2F8A" w:rsidRDefault="00AE2F8A">
    <w:pPr>
      <w:tabs>
        <w:tab w:val="center" w:pos="4513"/>
        <w:tab w:val="right" w:pos="9026"/>
      </w:tabs>
      <w:spacing w:after="0" w:line="240" w:lineRule="auto"/>
      <w:jc w:val="both"/>
    </w:pPr>
  </w:p>
  <w:p w14:paraId="075738B6"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38274A40"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0057B">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56585290" w14:textId="77777777" w:rsidR="00AE2F8A" w:rsidRDefault="00713AD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593C" w14:textId="77777777" w:rsidR="00B0057B" w:rsidRDefault="00B0057B">
      <w:pPr>
        <w:spacing w:after="0" w:line="240" w:lineRule="auto"/>
      </w:pPr>
      <w:r>
        <w:separator/>
      </w:r>
    </w:p>
  </w:footnote>
  <w:footnote w:type="continuationSeparator" w:id="0">
    <w:p w14:paraId="5A188BD0" w14:textId="77777777" w:rsidR="00B0057B" w:rsidRDefault="00B00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9C2D" w14:textId="77777777" w:rsidR="00AE2F8A" w:rsidRDefault="00AE2F8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559D3"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14:paraId="18D3D6DC"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11E67C48" w14:textId="77777777" w:rsidR="00AE2F8A" w:rsidRDefault="00713A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523A9F23" w14:textId="77777777" w:rsidR="00AE2F8A" w:rsidRDefault="00AE2F8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8456D" w14:textId="77777777" w:rsidR="00AE2F8A" w:rsidRDefault="00AE2F8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71438"/>
    <w:multiLevelType w:val="multilevel"/>
    <w:tmpl w:val="AB80C24E"/>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C2D52D9"/>
    <w:multiLevelType w:val="multilevel"/>
    <w:tmpl w:val="33B0568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CF75A7E"/>
    <w:multiLevelType w:val="multilevel"/>
    <w:tmpl w:val="076E7904"/>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6405160"/>
    <w:multiLevelType w:val="multilevel"/>
    <w:tmpl w:val="0FD2442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86D3368"/>
    <w:multiLevelType w:val="multilevel"/>
    <w:tmpl w:val="ADAAE6BA"/>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F8A"/>
    <w:rsid w:val="000C3058"/>
    <w:rsid w:val="00215BB9"/>
    <w:rsid w:val="00713AD8"/>
    <w:rsid w:val="00AE2F8A"/>
    <w:rsid w:val="00B0057B"/>
    <w:rsid w:val="00DA052C"/>
    <w:rsid w:val="00F55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81E5"/>
  <w15:docId w15:val="{B155074B-97E5-4690-9959-7F3B46F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0753B6"/>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753B6"/>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rsid w:val="000753B6"/>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rsid w:val="000753B6"/>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0753B6"/>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0753B6"/>
    <w:pPr>
      <w:spacing w:after="0" w:line="240" w:lineRule="auto"/>
    </w:pPr>
    <w:rPr>
      <w:rFonts w:cs="Times New Roma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character" w:styleId="Hyperlink">
    <w:name w:val="Hyperlink"/>
    <w:uiPriority w:val="99"/>
    <w:rsid w:val="00AC7947"/>
    <w:rPr>
      <w:color w:val="0000FF"/>
      <w:u w:val="single"/>
    </w:rPr>
  </w:style>
  <w:style w:type="character" w:styleId="FollowedHyperlink">
    <w:name w:val="FollowedHyperlink"/>
    <w:basedOn w:val="DefaultParagraphFont"/>
    <w:uiPriority w:val="99"/>
    <w:semiHidden/>
    <w:unhideWhenUsed/>
    <w:rsid w:val="00DA2BC7"/>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e">
    <w:basedOn w:val="TableNormal"/>
    <w:pPr>
      <w:spacing w:after="0" w:line="240" w:lineRule="auto"/>
    </w:pPr>
    <w:rPr>
      <w:sz w:val="20"/>
      <w:szCs w:val="20"/>
    </w:rPr>
    <w:tblPr>
      <w:tblStyleRowBandSize w:val="1"/>
      <w:tblStyleColBandSize w:val="1"/>
    </w:tblPr>
  </w:style>
  <w:style w:type="table" w:customStyle="1" w:styleId="afff">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mj/0/HNY+Zyo+fTWMjx5OPFwTQ==">CgMxLjAyCWguMnM4ZXlvMTIJaC4yZXQ5MnAwMgloLjF0M2g1c2YyCGguZ2pkZ3hzMgloLjFmb2I5dGUyCWguMTdkcDh2dTIJaC4zcmRjcmpuMgloLjI2aW4xcmcyCGgubG54Yno5MgloLjM1bmt1bjIyCWguMWtzdjR1djIJaC40NHNpbmlvMghoLnozMzd5YTIJaC4zajJxcW0zMgloLjF5ODEwdHcyCWguM3pueXNoNzIIaC50eWpjd3QyCWguM2R5NnZrbTIJaC40ZDM0b2c4MgloLjMwajB6bGwyDWguYno1N250Zjd2djU4AHIhMWZkQVNXUVMtak5PYzJvYnVKdkwyZVRPcmpsYXJTekt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2089</Words>
  <Characters>11908</Characters>
  <Application>Microsoft Office Word</Application>
  <DocSecurity>0</DocSecurity>
  <Lines>99</Lines>
  <Paragraphs>27</Paragraphs>
  <ScaleCrop>false</ScaleCrop>
  <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Ellis Young</cp:lastModifiedBy>
  <cp:revision>4</cp:revision>
  <dcterms:created xsi:type="dcterms:W3CDTF">2025-10-22T14:57:00Z</dcterms:created>
  <dcterms:modified xsi:type="dcterms:W3CDTF">2026-01-07T10:58:00Z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